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A3D1" w14:textId="77777777" w:rsidR="009C0317" w:rsidRDefault="009C0317" w:rsidP="009C0317">
      <w:pPr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</w:pPr>
      <w:r w:rsidRPr="0078285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 xml:space="preserve">SOP: </w:t>
      </w:r>
      <w:r w:rsidRPr="00782855">
        <w:rPr>
          <w:rFonts w:ascii="Times New Roman" w:hAnsi="Times New Roman" w:cs="Times New Roman"/>
        </w:rPr>
        <w:t xml:space="preserve"> </w:t>
      </w:r>
      <w:bookmarkStart w:id="0" w:name="_GoBack"/>
      <w:r w:rsidRPr="0078285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>DETERMINATION OF DRY MATTER</w:t>
      </w:r>
      <w:r w:rsidR="008F58D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 xml:space="preserve"> AND AMYLOSE</w:t>
      </w:r>
      <w:r w:rsidRPr="0078285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 xml:space="preserve"> CONT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>ENT</w:t>
      </w:r>
      <w:r w:rsidR="008F58D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>S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 xml:space="preserve"> OF WET FUFU MASH</w:t>
      </w:r>
      <w:r w:rsidR="008F58D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 xml:space="preserve"> AND MILLED GARRI</w:t>
      </w:r>
      <w:r w:rsidRPr="00782855"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 xml:space="preserve"> USING HANDHELD NIRS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  <w:t>.</w:t>
      </w:r>
    </w:p>
    <w:bookmarkEnd w:id="0"/>
    <w:p w14:paraId="20812840" w14:textId="77777777" w:rsidR="009C0317" w:rsidRDefault="009C0317" w:rsidP="009C0317">
      <w:pPr>
        <w:rPr>
          <w:rFonts w:ascii="Times New Roman" w:hAnsi="Times New Roman" w:cs="Times New Roman"/>
          <w:b/>
          <w:color w:val="000000"/>
          <w:sz w:val="28"/>
          <w:szCs w:val="24"/>
          <w:lang w:eastAsia="fr-FR"/>
        </w:rPr>
      </w:pPr>
    </w:p>
    <w:p w14:paraId="15F1CFE2" w14:textId="77777777" w:rsidR="009C0317" w:rsidRPr="00782855" w:rsidRDefault="009C0317" w:rsidP="009C0317">
      <w:pPr>
        <w:spacing w:before="100" w:beforeAutospacing="1" w:after="240" w:line="240" w:lineRule="auto"/>
        <w:ind w:left="709" w:hanging="709"/>
        <w:jc w:val="both"/>
        <w:outlineLvl w:val="0"/>
        <w:rPr>
          <w:rFonts w:ascii="Arial" w:eastAsia="Calibri" w:hAnsi="Arial" w:cs="Arial"/>
          <w:b/>
          <w:smallCaps/>
          <w:color w:val="45A32F"/>
          <w:sz w:val="44"/>
          <w:szCs w:val="44"/>
          <w:lang w:val="en-GB"/>
        </w:rPr>
      </w:pPr>
      <w:bookmarkStart w:id="1" w:name="_Toc63779441"/>
      <w:bookmarkStart w:id="2" w:name="_Toc66441726"/>
      <w:r w:rsidRPr="00782855">
        <w:rPr>
          <w:rFonts w:ascii="Arial" w:eastAsia="Calibri" w:hAnsi="Arial" w:cs="Arial"/>
          <w:b/>
          <w:smallCaps/>
          <w:color w:val="45A32F"/>
          <w:sz w:val="44"/>
          <w:szCs w:val="44"/>
          <w:lang w:val="en-GB"/>
        </w:rPr>
        <w:t>Apparatus</w:t>
      </w:r>
      <w:bookmarkEnd w:id="1"/>
      <w:bookmarkEnd w:id="2"/>
    </w:p>
    <w:p w14:paraId="78C0D728" w14:textId="77777777" w:rsidR="009C0317" w:rsidRPr="00782855" w:rsidRDefault="009C0317" w:rsidP="009C0317">
      <w:pPr>
        <w:spacing w:before="120" w:after="120" w:line="240" w:lineRule="auto"/>
        <w:jc w:val="both"/>
        <w:rPr>
          <w:rFonts w:ascii="Arial" w:eastAsia="Calibri" w:hAnsi="Arial" w:cs="Arial"/>
          <w:b/>
          <w:lang w:val="en-GB"/>
        </w:rPr>
      </w:pPr>
      <w:r w:rsidRPr="00782855">
        <w:rPr>
          <w:rFonts w:ascii="Arial" w:eastAsia="Calibri" w:hAnsi="Arial" w:cs="Arial"/>
          <w:lang w:val="en-GB"/>
        </w:rPr>
        <w:t>Portable vis/</w:t>
      </w:r>
      <w:proofErr w:type="spellStart"/>
      <w:r w:rsidRPr="00782855">
        <w:rPr>
          <w:rFonts w:ascii="Arial" w:eastAsia="Calibri" w:hAnsi="Arial" w:cs="Arial"/>
          <w:lang w:val="en-GB"/>
        </w:rPr>
        <w:t>nirs</w:t>
      </w:r>
      <w:proofErr w:type="spellEnd"/>
      <w:r w:rsidRPr="00782855">
        <w:rPr>
          <w:rFonts w:ascii="Arial" w:eastAsia="Calibri" w:hAnsi="Arial" w:cs="Arial"/>
          <w:lang w:val="en-GB"/>
        </w:rPr>
        <w:t xml:space="preserve"> device (</w:t>
      </w:r>
      <w:proofErr w:type="spellStart"/>
      <w:r w:rsidRPr="00782855">
        <w:rPr>
          <w:rFonts w:ascii="Arial" w:eastAsia="Calibri" w:hAnsi="Arial" w:cs="Arial"/>
          <w:lang w:val="en-GB"/>
        </w:rPr>
        <w:t>qualityspec</w:t>
      </w:r>
      <w:proofErr w:type="spellEnd"/>
      <w:r w:rsidRPr="00782855">
        <w:rPr>
          <w:rFonts w:ascii="Arial" w:eastAsia="Calibri" w:hAnsi="Arial" w:cs="Arial"/>
          <w:lang w:val="en-GB"/>
        </w:rPr>
        <w:t xml:space="preserve"> trek: s-10016) from ASD, </w:t>
      </w:r>
      <w:proofErr w:type="spellStart"/>
      <w:r w:rsidRPr="00782855">
        <w:rPr>
          <w:rFonts w:ascii="Arial" w:eastAsia="Calibri" w:hAnsi="Arial" w:cs="Arial"/>
          <w:lang w:val="en-GB"/>
        </w:rPr>
        <w:t>PANalytical</w:t>
      </w:r>
      <w:proofErr w:type="spellEnd"/>
      <w:r w:rsidRPr="00782855">
        <w:rPr>
          <w:rFonts w:ascii="Arial" w:eastAsia="Calibri" w:hAnsi="Arial" w:cs="Arial"/>
          <w:lang w:val="en-GB"/>
        </w:rPr>
        <w:t xml:space="preserve"> Products, Malvern </w:t>
      </w:r>
      <w:proofErr w:type="spellStart"/>
      <w:r w:rsidRPr="00782855">
        <w:rPr>
          <w:rFonts w:ascii="Arial" w:eastAsia="Calibri" w:hAnsi="Arial" w:cs="Arial"/>
          <w:b/>
          <w:lang w:val="en-GB"/>
        </w:rPr>
        <w:t>Panalytical</w:t>
      </w:r>
      <w:proofErr w:type="spellEnd"/>
      <w:r w:rsidRPr="00782855">
        <w:rPr>
          <w:rFonts w:ascii="Arial" w:eastAsia="Calibri" w:hAnsi="Arial" w:cs="Arial"/>
          <w:b/>
          <w:lang w:val="en-GB"/>
        </w:rPr>
        <w:t xml:space="preserve"> B.V, </w:t>
      </w:r>
      <w:proofErr w:type="spellStart"/>
      <w:r w:rsidRPr="00782855">
        <w:rPr>
          <w:rFonts w:ascii="Arial" w:eastAsia="Calibri" w:hAnsi="Arial" w:cs="Arial"/>
          <w:b/>
          <w:lang w:val="en-GB"/>
        </w:rPr>
        <w:t>Lelyweg</w:t>
      </w:r>
      <w:proofErr w:type="spellEnd"/>
      <w:r w:rsidRPr="00782855">
        <w:rPr>
          <w:rFonts w:ascii="Arial" w:eastAsia="Calibri" w:hAnsi="Arial" w:cs="Arial"/>
          <w:b/>
          <w:lang w:val="en-GB"/>
        </w:rPr>
        <w:t xml:space="preserve"> 1 (7602 EA), PO Box 13, Almelo 7600 AA, Netherlands</w:t>
      </w:r>
    </w:p>
    <w:p w14:paraId="190B135E" w14:textId="77777777" w:rsidR="009C0317" w:rsidRDefault="009C0317" w:rsidP="009C0317">
      <w:pPr>
        <w:spacing w:before="100" w:beforeAutospacing="1" w:after="240" w:line="240" w:lineRule="auto"/>
        <w:ind w:left="709" w:hanging="709"/>
        <w:jc w:val="both"/>
        <w:outlineLvl w:val="0"/>
        <w:rPr>
          <w:rFonts w:ascii="Arial" w:eastAsia="Calibri" w:hAnsi="Arial" w:cs="Arial"/>
          <w:b/>
          <w:smallCaps/>
          <w:color w:val="45A32F"/>
          <w:sz w:val="44"/>
          <w:szCs w:val="44"/>
          <w:lang w:val="en-GB"/>
        </w:rPr>
      </w:pPr>
      <w:bookmarkStart w:id="3" w:name="_Toc63779442"/>
      <w:bookmarkStart w:id="4" w:name="_Toc66441727"/>
      <w:r w:rsidRPr="00782855">
        <w:rPr>
          <w:rFonts w:ascii="Arial" w:eastAsia="Calibri" w:hAnsi="Arial" w:cs="Arial"/>
          <w:b/>
          <w:smallCaps/>
          <w:color w:val="45A32F"/>
          <w:sz w:val="44"/>
          <w:szCs w:val="44"/>
          <w:lang w:val="en-GB"/>
        </w:rPr>
        <w:t>Procedure</w:t>
      </w:r>
      <w:bookmarkEnd w:id="3"/>
      <w:bookmarkEnd w:id="4"/>
    </w:p>
    <w:p w14:paraId="58F2BE1C" w14:textId="77777777" w:rsidR="009C0317" w:rsidRDefault="009C0317" w:rsidP="009C0317">
      <w:pPr>
        <w:pStyle w:val="ListParagraph"/>
        <w:numPr>
          <w:ilvl w:val="0"/>
          <w:numId w:val="1"/>
        </w:numPr>
        <w:spacing w:beforeLines="120" w:before="288" w:after="0" w:line="240" w:lineRule="auto"/>
        <w:jc w:val="both"/>
        <w:rPr>
          <w:sz w:val="24"/>
          <w:szCs w:val="24"/>
          <w:lang w:eastAsia="fr-FR"/>
        </w:rPr>
      </w:pPr>
      <w:r w:rsidRPr="00561A01">
        <w:rPr>
          <w:sz w:val="24"/>
          <w:szCs w:val="24"/>
          <w:lang w:eastAsia="fr-FR"/>
        </w:rPr>
        <w:t xml:space="preserve">Fill </w:t>
      </w:r>
      <w:r>
        <w:rPr>
          <w:sz w:val="24"/>
          <w:szCs w:val="24"/>
          <w:lang w:eastAsia="fr-FR"/>
        </w:rPr>
        <w:t xml:space="preserve">3 different </w:t>
      </w:r>
      <w:r w:rsidRPr="00561A01">
        <w:rPr>
          <w:sz w:val="24"/>
          <w:szCs w:val="24"/>
          <w:lang w:eastAsia="fr-FR"/>
        </w:rPr>
        <w:t>quartz cup</w:t>
      </w:r>
      <w:r>
        <w:rPr>
          <w:sz w:val="24"/>
          <w:szCs w:val="24"/>
          <w:lang w:eastAsia="fr-FR"/>
        </w:rPr>
        <w:t>s</w:t>
      </w:r>
      <w:r w:rsidRPr="00561A01">
        <w:rPr>
          <w:sz w:val="24"/>
          <w:szCs w:val="24"/>
          <w:lang w:eastAsia="fr-FR"/>
        </w:rPr>
        <w:t xml:space="preserve"> with the </w:t>
      </w:r>
      <w:proofErr w:type="spellStart"/>
      <w:r w:rsidRPr="00561A01">
        <w:rPr>
          <w:sz w:val="24"/>
          <w:szCs w:val="24"/>
          <w:lang w:eastAsia="fr-FR"/>
        </w:rPr>
        <w:t>fufu</w:t>
      </w:r>
      <w:proofErr w:type="spellEnd"/>
      <w:r w:rsidR="008F58D5">
        <w:rPr>
          <w:sz w:val="24"/>
          <w:szCs w:val="24"/>
          <w:lang w:eastAsia="fr-FR"/>
        </w:rPr>
        <w:t xml:space="preserve"> or milled </w:t>
      </w:r>
      <w:proofErr w:type="spellStart"/>
      <w:r w:rsidR="008F58D5">
        <w:rPr>
          <w:sz w:val="24"/>
          <w:szCs w:val="24"/>
          <w:lang w:eastAsia="fr-FR"/>
        </w:rPr>
        <w:t>garri</w:t>
      </w:r>
      <w:proofErr w:type="spellEnd"/>
      <w:r w:rsidRPr="00561A01">
        <w:rPr>
          <w:sz w:val="24"/>
          <w:szCs w:val="24"/>
          <w:lang w:eastAsia="fr-FR"/>
        </w:rPr>
        <w:t xml:space="preserve"> sample</w:t>
      </w:r>
      <w:r w:rsidR="008F58D5">
        <w:rPr>
          <w:sz w:val="24"/>
          <w:szCs w:val="24"/>
          <w:lang w:eastAsia="fr-FR"/>
        </w:rPr>
        <w:t>s</w:t>
      </w:r>
      <w:r w:rsidRPr="00561A01">
        <w:rPr>
          <w:sz w:val="24"/>
          <w:szCs w:val="24"/>
          <w:lang w:eastAsia="fr-FR"/>
        </w:rPr>
        <w:t xml:space="preserve"> (of about 8 – 10g). The three cups are chosen to serve as replicates for the samples during spectra collection.</w:t>
      </w:r>
    </w:p>
    <w:p w14:paraId="73742484" w14:textId="77777777" w:rsidR="00876B0E" w:rsidRPr="00561A01" w:rsidRDefault="00876B0E" w:rsidP="00876B0E">
      <w:pPr>
        <w:pStyle w:val="ListParagraph"/>
        <w:spacing w:beforeLines="120" w:before="288" w:after="0" w:line="240" w:lineRule="auto"/>
        <w:ind w:left="720"/>
        <w:jc w:val="both"/>
        <w:rPr>
          <w:sz w:val="24"/>
          <w:szCs w:val="24"/>
          <w:lang w:eastAsia="fr-FR"/>
        </w:rPr>
      </w:pPr>
    </w:p>
    <w:p w14:paraId="49A9CED1" w14:textId="77777777" w:rsidR="009C0317" w:rsidRDefault="009C0317" w:rsidP="009C031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fr-FR"/>
        </w:rPr>
      </w:pPr>
      <w:r w:rsidRPr="00102D8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FA63D2E" wp14:editId="278608D2">
            <wp:simplePos x="0" y="0"/>
            <wp:positionH relativeFrom="column">
              <wp:posOffset>290409</wp:posOffset>
            </wp:positionH>
            <wp:positionV relativeFrom="paragraph">
              <wp:posOffset>472270</wp:posOffset>
            </wp:positionV>
            <wp:extent cx="5392677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ight>
            <wp:docPr id="3" name="Picture 3" descr="C:\Users\NRCRIAdmin\Documents\IMG_20201029_2131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CRIAdmin\Documents\IMG_20201029_21313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77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A01">
        <w:rPr>
          <w:sz w:val="24"/>
          <w:szCs w:val="24"/>
          <w:lang w:eastAsia="fr-FR"/>
        </w:rPr>
        <w:t>Cover the already filled sample cups with the white cover (came alongside the portable NIRS device)</w:t>
      </w:r>
    </w:p>
    <w:p w14:paraId="1270134D" w14:textId="77777777" w:rsidR="002B7338" w:rsidRPr="00561A01" w:rsidRDefault="002B7338" w:rsidP="009C031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fr-FR"/>
        </w:rPr>
      </w:pPr>
    </w:p>
    <w:p w14:paraId="70A12F9C" w14:textId="77777777" w:rsidR="009C0317" w:rsidRDefault="00876B0E" w:rsidP="009C0317">
      <w:pPr>
        <w:pStyle w:val="Caption"/>
        <w:jc w:val="both"/>
        <w:rPr>
          <w:b/>
          <w:sz w:val="22"/>
          <w:szCs w:val="22"/>
          <w:lang w:eastAsia="fr-FR"/>
        </w:rPr>
      </w:pPr>
      <w:r>
        <w:rPr>
          <w:sz w:val="24"/>
          <w:szCs w:val="24"/>
        </w:rPr>
        <w:t xml:space="preserve">                 </w:t>
      </w:r>
      <w:r w:rsidR="009C0317" w:rsidRPr="00102D82">
        <w:rPr>
          <w:sz w:val="24"/>
          <w:szCs w:val="24"/>
        </w:rPr>
        <w:t xml:space="preserve">Figure </w:t>
      </w:r>
      <w:r w:rsidR="009C0317" w:rsidRPr="00102D82">
        <w:rPr>
          <w:sz w:val="24"/>
          <w:szCs w:val="24"/>
        </w:rPr>
        <w:fldChar w:fldCharType="begin"/>
      </w:r>
      <w:r w:rsidR="009C0317" w:rsidRPr="00102D82">
        <w:rPr>
          <w:sz w:val="24"/>
          <w:szCs w:val="24"/>
        </w:rPr>
        <w:instrText xml:space="preserve"> SEQ Figure \* ARABIC </w:instrText>
      </w:r>
      <w:r w:rsidR="009C0317" w:rsidRPr="00102D82">
        <w:rPr>
          <w:sz w:val="24"/>
          <w:szCs w:val="24"/>
        </w:rPr>
        <w:fldChar w:fldCharType="separate"/>
      </w:r>
      <w:r w:rsidR="009C0317">
        <w:rPr>
          <w:noProof/>
          <w:sz w:val="24"/>
          <w:szCs w:val="24"/>
        </w:rPr>
        <w:t>1</w:t>
      </w:r>
      <w:r w:rsidR="009C0317" w:rsidRPr="00102D82">
        <w:rPr>
          <w:sz w:val="24"/>
          <w:szCs w:val="24"/>
        </w:rPr>
        <w:fldChar w:fldCharType="end"/>
      </w:r>
      <w:r w:rsidR="009C0317">
        <w:t xml:space="preserve"> </w:t>
      </w:r>
      <w:r w:rsidR="009C0317" w:rsidRPr="00102D82">
        <w:rPr>
          <w:b/>
          <w:sz w:val="22"/>
          <w:szCs w:val="22"/>
          <w:lang w:eastAsia="fr-FR"/>
        </w:rPr>
        <w:t>Filled sampling quartz cups</w:t>
      </w:r>
    </w:p>
    <w:p w14:paraId="72AC6E2D" w14:textId="77777777" w:rsidR="00876B0E" w:rsidRPr="00876B0E" w:rsidRDefault="00876B0E" w:rsidP="00876B0E">
      <w:pPr>
        <w:rPr>
          <w:lang w:val="en-GB" w:eastAsia="fr-FR"/>
        </w:rPr>
      </w:pPr>
    </w:p>
    <w:p w14:paraId="5C0BB3F3" w14:textId="77777777" w:rsidR="009C0317" w:rsidRPr="00561A01" w:rsidRDefault="009C0317" w:rsidP="009C031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561A01">
        <w:rPr>
          <w:sz w:val="24"/>
          <w:szCs w:val="24"/>
          <w:lang w:eastAsia="fr-FR"/>
        </w:rPr>
        <w:t>Place the sampling cups against the window of the portable NIRS device and scan.</w:t>
      </w:r>
      <w:r w:rsidRPr="00561A01">
        <w:rPr>
          <w:sz w:val="24"/>
          <w:szCs w:val="24"/>
        </w:rPr>
        <w:t xml:space="preserve"> Prior to scanning the samples, spectra of the white reference disc is always taken. This helps check the accuracy of the spectrometer</w:t>
      </w:r>
      <w:r w:rsidR="00876B0E">
        <w:rPr>
          <w:sz w:val="24"/>
          <w:szCs w:val="24"/>
        </w:rPr>
        <w:t xml:space="preserve"> </w:t>
      </w:r>
      <w:r w:rsidR="00876B0E" w:rsidRPr="00876B0E">
        <w:rPr>
          <w:rFonts w:ascii="Arial" w:hAnsi="Arial" w:cs="Arial"/>
        </w:rPr>
        <w:t>(see image below).</w:t>
      </w:r>
    </w:p>
    <w:p w14:paraId="48035801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0D248C" wp14:editId="7F3FFAE7">
            <wp:simplePos x="0" y="0"/>
            <wp:positionH relativeFrom="column">
              <wp:posOffset>1404129</wp:posOffset>
            </wp:positionH>
            <wp:positionV relativeFrom="paragraph">
              <wp:posOffset>87800</wp:posOffset>
            </wp:positionV>
            <wp:extent cx="238506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393" y="21379"/>
                <wp:lineTo x="21393" y="0"/>
                <wp:lineTo x="0" y="0"/>
              </wp:wrapPolygon>
            </wp:wrapTight>
            <wp:docPr id="4" name="Content Placeholder 3" descr="C:\Users\NRCRIAdmin\Documents\IMG-20200923-WA0005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NRCRIAdmin\Documents\IMG-20200923-WA0005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3F954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0790D2A0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59ED0610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750E67A8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44AB7BB0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01B4D8E5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11F18763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79E38B4C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2963EB81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794E884E" w14:textId="77777777" w:rsidR="009C0317" w:rsidRDefault="009C0317" w:rsidP="009C0317">
      <w:pPr>
        <w:keepNext/>
        <w:spacing w:after="0" w:line="240" w:lineRule="auto"/>
        <w:jc w:val="both"/>
        <w:rPr>
          <w:sz w:val="28"/>
          <w:szCs w:val="28"/>
          <w:lang w:eastAsia="fr-FR"/>
        </w:rPr>
      </w:pPr>
    </w:p>
    <w:p w14:paraId="54D00D5F" w14:textId="77777777" w:rsidR="009C0317" w:rsidRDefault="009C0317" w:rsidP="009C0317">
      <w:pPr>
        <w:pStyle w:val="Caption"/>
        <w:jc w:val="both"/>
        <w:rPr>
          <w:i w:val="0"/>
          <w:iCs w:val="0"/>
          <w:color w:val="auto"/>
          <w:sz w:val="28"/>
          <w:szCs w:val="28"/>
          <w:lang w:eastAsia="fr-FR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z w:val="28"/>
          <w:szCs w:val="28"/>
          <w:lang w:val="en-US" w:eastAsia="fr-FR"/>
        </w:rPr>
        <w:t xml:space="preserve">                        </w:t>
      </w:r>
      <w:r w:rsidRPr="00395BA1">
        <w:rPr>
          <w:sz w:val="20"/>
          <w:szCs w:val="20"/>
        </w:rPr>
        <w:t xml:space="preserve">Figure </w:t>
      </w:r>
      <w:r w:rsidRPr="00395BA1">
        <w:rPr>
          <w:sz w:val="20"/>
          <w:szCs w:val="20"/>
        </w:rPr>
        <w:fldChar w:fldCharType="begin"/>
      </w:r>
      <w:r w:rsidRPr="00395BA1">
        <w:rPr>
          <w:sz w:val="20"/>
          <w:szCs w:val="20"/>
        </w:rPr>
        <w:instrText xml:space="preserve"> SEQ Figure \* ARABIC </w:instrText>
      </w:r>
      <w:r w:rsidRPr="00395BA1">
        <w:rPr>
          <w:sz w:val="20"/>
          <w:szCs w:val="20"/>
        </w:rPr>
        <w:fldChar w:fldCharType="separate"/>
      </w:r>
      <w:r w:rsidRPr="00395BA1">
        <w:rPr>
          <w:noProof/>
          <w:sz w:val="20"/>
          <w:szCs w:val="20"/>
        </w:rPr>
        <w:t>2</w:t>
      </w:r>
      <w:r w:rsidRPr="00395BA1">
        <w:rPr>
          <w:sz w:val="20"/>
          <w:szCs w:val="20"/>
        </w:rPr>
        <w:fldChar w:fldCharType="end"/>
      </w:r>
      <w:r w:rsidRPr="00395BA1">
        <w:rPr>
          <w:sz w:val="20"/>
          <w:szCs w:val="20"/>
        </w:rPr>
        <w:t xml:space="preserve">  </w:t>
      </w:r>
      <w:r w:rsidRPr="00395BA1">
        <w:rPr>
          <w:b/>
          <w:sz w:val="20"/>
          <w:szCs w:val="20"/>
          <w:lang w:eastAsia="fr-FR"/>
        </w:rPr>
        <w:t>Spectra collection on</w:t>
      </w:r>
      <w:r w:rsidR="008F58D5">
        <w:rPr>
          <w:b/>
          <w:sz w:val="20"/>
          <w:szCs w:val="20"/>
          <w:lang w:eastAsia="fr-FR"/>
        </w:rPr>
        <w:t xml:space="preserve"> wet</w:t>
      </w:r>
      <w:r w:rsidRPr="00395BA1">
        <w:rPr>
          <w:b/>
          <w:sz w:val="20"/>
          <w:szCs w:val="20"/>
          <w:lang w:eastAsia="fr-FR"/>
        </w:rPr>
        <w:t xml:space="preserve"> </w:t>
      </w:r>
      <w:proofErr w:type="spellStart"/>
      <w:r w:rsidRPr="00395BA1">
        <w:rPr>
          <w:b/>
          <w:sz w:val="20"/>
          <w:szCs w:val="20"/>
          <w:lang w:eastAsia="fr-FR"/>
        </w:rPr>
        <w:t>fufu</w:t>
      </w:r>
      <w:proofErr w:type="spellEnd"/>
      <w:r w:rsidR="008F58D5">
        <w:rPr>
          <w:b/>
          <w:sz w:val="20"/>
          <w:szCs w:val="20"/>
          <w:lang w:eastAsia="fr-FR"/>
        </w:rPr>
        <w:t xml:space="preserve"> mash/milled </w:t>
      </w:r>
      <w:proofErr w:type="spellStart"/>
      <w:r w:rsidR="008F58D5">
        <w:rPr>
          <w:b/>
          <w:sz w:val="20"/>
          <w:szCs w:val="20"/>
          <w:lang w:eastAsia="fr-FR"/>
        </w:rPr>
        <w:t>garri</w:t>
      </w:r>
      <w:proofErr w:type="spellEnd"/>
      <w:r w:rsidR="008F58D5">
        <w:rPr>
          <w:b/>
          <w:sz w:val="20"/>
          <w:szCs w:val="20"/>
          <w:lang w:eastAsia="fr-FR"/>
        </w:rPr>
        <w:t xml:space="preserve"> samples</w:t>
      </w:r>
      <w:r w:rsidRPr="00395BA1">
        <w:rPr>
          <w:i w:val="0"/>
          <w:iCs w:val="0"/>
          <w:color w:val="auto"/>
          <w:sz w:val="28"/>
          <w:szCs w:val="28"/>
          <w:lang w:eastAsia="fr-FR"/>
        </w:rPr>
        <w:t xml:space="preserve"> </w:t>
      </w:r>
    </w:p>
    <w:p w14:paraId="4C9DEB39" w14:textId="77777777" w:rsidR="00FF3A14" w:rsidRPr="00FF3A14" w:rsidRDefault="00FF3A14" w:rsidP="00FF3A14">
      <w:pPr>
        <w:rPr>
          <w:lang w:val="en-GB" w:eastAsia="fr-FR"/>
        </w:rPr>
      </w:pPr>
    </w:p>
    <w:p w14:paraId="6155D142" w14:textId="77777777" w:rsidR="00FF3A14" w:rsidRPr="00693E62" w:rsidRDefault="00FF3A14" w:rsidP="00FF3A14">
      <w:pPr>
        <w:jc w:val="both"/>
        <w:rPr>
          <w:rFonts w:ascii="Arial" w:hAnsi="Arial" w:cs="Arial"/>
          <w:b/>
          <w:color w:val="00B050"/>
          <w:sz w:val="44"/>
          <w:szCs w:val="44"/>
        </w:rPr>
      </w:pPr>
      <w:r w:rsidRPr="00693E62">
        <w:rPr>
          <w:rFonts w:ascii="Arial" w:hAnsi="Arial" w:cs="Arial"/>
          <w:b/>
          <w:color w:val="00B050"/>
          <w:sz w:val="44"/>
          <w:szCs w:val="44"/>
        </w:rPr>
        <w:t xml:space="preserve">NIRS MEASUREMENT </w:t>
      </w:r>
    </w:p>
    <w:p w14:paraId="3449ABDE" w14:textId="77777777" w:rsidR="00FF3A14" w:rsidRPr="00FF3A14" w:rsidRDefault="00FF3A14" w:rsidP="00FF3A14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F3A14">
        <w:rPr>
          <w:rFonts w:ascii="Arial" w:hAnsi="Arial" w:cs="Arial"/>
          <w:sz w:val="22"/>
          <w:szCs w:val="22"/>
        </w:rPr>
        <w:t xml:space="preserve">Nine spectra were captured on the </w:t>
      </w:r>
      <w:proofErr w:type="spellStart"/>
      <w:r w:rsidRPr="00FF3A14">
        <w:rPr>
          <w:rFonts w:ascii="Arial" w:hAnsi="Arial" w:cs="Arial"/>
          <w:sz w:val="22"/>
          <w:szCs w:val="22"/>
        </w:rPr>
        <w:t>fufu</w:t>
      </w:r>
      <w:proofErr w:type="spellEnd"/>
      <w:r w:rsidRPr="00FF3A14">
        <w:rPr>
          <w:rFonts w:ascii="Arial" w:hAnsi="Arial" w:cs="Arial"/>
          <w:sz w:val="22"/>
          <w:szCs w:val="22"/>
        </w:rPr>
        <w:t xml:space="preserve"> mashes samples (3 quartz cups captured 3 times on each cup) for each clone. The quantity to be analysed was homogenised and a portion was taken so as to serve as a representative of the whole lot of the samples to be analysed.</w:t>
      </w:r>
    </w:p>
    <w:p w14:paraId="095323CA" w14:textId="77777777" w:rsidR="00FF3A14" w:rsidRDefault="00FF3A14" w:rsidP="00FF3A14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lang w:val="fr-FR"/>
        </w:rPr>
      </w:pPr>
      <w:r w:rsidRPr="00FF3A14">
        <w:rPr>
          <w:rFonts w:ascii="Arial" w:hAnsi="Arial" w:cs="Arial"/>
          <w:lang w:val="fr-FR"/>
        </w:rPr>
        <w:t>Spectral range &amp; acquisition mode: Absorbance (350 – 2500 nm)</w:t>
      </w:r>
    </w:p>
    <w:p w14:paraId="5590C271" w14:textId="77777777" w:rsidR="00FF3A14" w:rsidRPr="00FF3A14" w:rsidRDefault="00FF3A14" w:rsidP="00FF3A14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lang w:val="fr-FR"/>
        </w:rPr>
      </w:pPr>
      <w:r w:rsidRPr="00FF3A14">
        <w:rPr>
          <w:rFonts w:ascii="Arial" w:hAnsi="Arial" w:cs="Arial"/>
        </w:rPr>
        <w:t xml:space="preserve">Spectrometer: </w:t>
      </w:r>
      <w:proofErr w:type="spellStart"/>
      <w:r w:rsidRPr="00FF3A14">
        <w:rPr>
          <w:rFonts w:ascii="Arial" w:hAnsi="Arial" w:cs="Arial"/>
        </w:rPr>
        <w:t>QualitySpec</w:t>
      </w:r>
      <w:proofErr w:type="spellEnd"/>
      <w:r w:rsidRPr="00FF3A14">
        <w:rPr>
          <w:rFonts w:ascii="Arial" w:hAnsi="Arial" w:cs="Arial"/>
        </w:rPr>
        <w:t xml:space="preserve"> Trek: S- 10016</w:t>
      </w:r>
    </w:p>
    <w:p w14:paraId="2D803C86" w14:textId="77777777" w:rsidR="009C0317" w:rsidRPr="00FF3A14" w:rsidRDefault="009C0317" w:rsidP="009C0317">
      <w:pPr>
        <w:spacing w:before="100" w:beforeAutospacing="1" w:after="240" w:line="240" w:lineRule="auto"/>
        <w:ind w:left="709" w:hanging="709"/>
        <w:jc w:val="both"/>
        <w:outlineLvl w:val="0"/>
        <w:rPr>
          <w:rFonts w:ascii="Arial" w:eastAsia="Calibri" w:hAnsi="Arial" w:cs="Arial"/>
          <w:b/>
          <w:smallCaps/>
          <w:color w:val="45A32F"/>
          <w:lang w:val="en-GB"/>
        </w:rPr>
      </w:pPr>
    </w:p>
    <w:p w14:paraId="2B9EA17F" w14:textId="77777777" w:rsidR="00F206FB" w:rsidRPr="00FF3A14" w:rsidRDefault="00F206FB">
      <w:pPr>
        <w:rPr>
          <w:rFonts w:ascii="Arial" w:hAnsi="Arial" w:cs="Arial"/>
        </w:rPr>
      </w:pPr>
    </w:p>
    <w:sectPr w:rsidR="00F206FB" w:rsidRPr="00FF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4720"/>
    <w:multiLevelType w:val="hybridMultilevel"/>
    <w:tmpl w:val="008A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565"/>
    <w:multiLevelType w:val="hybridMultilevel"/>
    <w:tmpl w:val="008A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25FD"/>
    <w:multiLevelType w:val="hybridMultilevel"/>
    <w:tmpl w:val="2BB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7"/>
    <w:rsid w:val="00212262"/>
    <w:rsid w:val="002B7338"/>
    <w:rsid w:val="00693E62"/>
    <w:rsid w:val="00876B0E"/>
    <w:rsid w:val="008F58D5"/>
    <w:rsid w:val="009C0317"/>
    <w:rsid w:val="00F206FB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A92F"/>
  <w15:chartTrackingRefBased/>
  <w15:docId w15:val="{4684BEA2-A070-4E77-86FE-7C30C2C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7"/>
    <w:pPr>
      <w:spacing w:after="200" w:line="276" w:lineRule="auto"/>
      <w:ind w:left="708"/>
    </w:pPr>
    <w:rPr>
      <w:rFonts w:ascii="Times New Roman" w:eastAsia="Calibri" w:hAnsi="Times New Roman" w:cs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C0317"/>
    <w:pPr>
      <w:spacing w:after="200" w:line="240" w:lineRule="auto"/>
    </w:pPr>
    <w:rPr>
      <w:rFonts w:ascii="Times New Roman" w:eastAsia="Calibri" w:hAnsi="Times New Roman" w:cs="Times New Roman"/>
      <w:i/>
      <w:iCs/>
      <w:color w:val="44546A" w:themeColor="text2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F3A14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A14"/>
    <w:rPr>
      <w:rFonts w:ascii="Times New Roman" w:eastAsia="Calibri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Chukwudi</dc:creator>
  <cp:keywords/>
  <dc:description/>
  <cp:lastModifiedBy>Microsoft Office User</cp:lastModifiedBy>
  <cp:revision>6</cp:revision>
  <dcterms:created xsi:type="dcterms:W3CDTF">2021-06-03T09:04:00Z</dcterms:created>
  <dcterms:modified xsi:type="dcterms:W3CDTF">2018-01-01T01:41:00Z</dcterms:modified>
</cp:coreProperties>
</file>