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18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C0D0D" w:rsidRPr="00F23CFE" w14:paraId="41267AD6" w14:textId="77777777" w:rsidTr="00591F76">
        <w:tc>
          <w:tcPr>
            <w:tcW w:w="9350" w:type="dxa"/>
            <w:gridSpan w:val="2"/>
          </w:tcPr>
          <w:p w14:paraId="682ABFFC" w14:textId="77777777" w:rsidR="00CC0D0D" w:rsidRDefault="00CC0D0D" w:rsidP="00591F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3C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International Institute of Tropical Agriculture</w:t>
            </w:r>
          </w:p>
          <w:p w14:paraId="4B141836" w14:textId="77777777" w:rsidR="00CC0D0D" w:rsidRDefault="00CC0D0D" w:rsidP="00591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CFE">
              <w:rPr>
                <w:rFonts w:ascii="Times New Roman" w:hAnsi="Times New Roman" w:cs="Times New Roman"/>
                <w:sz w:val="28"/>
                <w:szCs w:val="28"/>
              </w:rPr>
              <w:t>Standard Operating Procedure</w:t>
            </w:r>
          </w:p>
          <w:p w14:paraId="5CF1BE82" w14:textId="77777777" w:rsidR="00CC0D0D" w:rsidRPr="00F23CFE" w:rsidRDefault="00CC0D0D" w:rsidP="00591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(NextGen Cassava)</w:t>
            </w:r>
          </w:p>
        </w:tc>
      </w:tr>
      <w:tr w:rsidR="00CC0D0D" w:rsidRPr="00914931" w14:paraId="647A20FA" w14:textId="77777777" w:rsidTr="00591F76">
        <w:tc>
          <w:tcPr>
            <w:tcW w:w="4675" w:type="dxa"/>
          </w:tcPr>
          <w:p w14:paraId="7C433603" w14:textId="70BC7C53" w:rsidR="00CC0D0D" w:rsidRPr="00914931" w:rsidRDefault="00CC0D0D" w:rsidP="00591F76">
            <w:pPr>
              <w:rPr>
                <w:rFonts w:ascii="Times New Roman" w:hAnsi="Times New Roman" w:cs="Times New Roman"/>
                <w:b/>
                <w:bCs/>
              </w:rPr>
            </w:pPr>
            <w:r w:rsidRPr="00914931">
              <w:rPr>
                <w:rFonts w:ascii="Times New Roman" w:hAnsi="Times New Roman" w:cs="Times New Roman"/>
                <w:b/>
                <w:bCs/>
              </w:rPr>
              <w:t xml:space="preserve">Title: </w:t>
            </w:r>
            <w:r w:rsidR="00693183">
              <w:t xml:space="preserve"> </w:t>
            </w:r>
            <w:r w:rsidR="009E1575">
              <w:t xml:space="preserve">Spectral </w:t>
            </w:r>
            <w:r w:rsidR="00861526">
              <w:t>D</w:t>
            </w:r>
            <w:r w:rsidR="009E1575">
              <w:t xml:space="preserve">ata </w:t>
            </w:r>
            <w:r w:rsidR="00861526">
              <w:t>C</w:t>
            </w:r>
            <w:r w:rsidR="009E1575">
              <w:t>apturing</w:t>
            </w:r>
          </w:p>
        </w:tc>
        <w:tc>
          <w:tcPr>
            <w:tcW w:w="4675" w:type="dxa"/>
          </w:tcPr>
          <w:p w14:paraId="397BFBDD" w14:textId="6EC73F44" w:rsidR="00CC0D0D" w:rsidRPr="00914931" w:rsidRDefault="00CC0D0D" w:rsidP="00591F76">
            <w:pPr>
              <w:rPr>
                <w:rFonts w:ascii="Times New Roman" w:hAnsi="Times New Roman" w:cs="Times New Roman"/>
                <w:b/>
                <w:bCs/>
              </w:rPr>
            </w:pPr>
            <w:r w:rsidRPr="00914931">
              <w:rPr>
                <w:rFonts w:ascii="Times New Roman" w:hAnsi="Times New Roman" w:cs="Times New Roman"/>
                <w:b/>
                <w:bCs/>
              </w:rPr>
              <w:t>Version: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93183">
              <w:rPr>
                <w:rFonts w:ascii="Times New Roman" w:hAnsi="Times New Roman" w:cs="Times New Roman"/>
              </w:rPr>
              <w:t>1</w:t>
            </w:r>
          </w:p>
        </w:tc>
      </w:tr>
      <w:tr w:rsidR="00CC0D0D" w:rsidRPr="00914931" w14:paraId="6C0F4E99" w14:textId="77777777" w:rsidTr="00591F76">
        <w:tc>
          <w:tcPr>
            <w:tcW w:w="4675" w:type="dxa"/>
          </w:tcPr>
          <w:p w14:paraId="3C5012E7" w14:textId="77777777" w:rsidR="00CC0D0D" w:rsidRPr="00914931" w:rsidRDefault="00CC0D0D" w:rsidP="00591F76">
            <w:pPr>
              <w:rPr>
                <w:rFonts w:ascii="Times New Roman" w:hAnsi="Times New Roman" w:cs="Times New Roman"/>
                <w:b/>
                <w:bCs/>
              </w:rPr>
            </w:pPr>
            <w:r w:rsidRPr="00914931">
              <w:rPr>
                <w:rFonts w:ascii="Times New Roman" w:hAnsi="Times New Roman" w:cs="Times New Roman"/>
                <w:b/>
                <w:bCs/>
              </w:rPr>
              <w:t>Author:</w:t>
            </w:r>
          </w:p>
        </w:tc>
        <w:tc>
          <w:tcPr>
            <w:tcW w:w="4675" w:type="dxa"/>
          </w:tcPr>
          <w:p w14:paraId="66F1F9F6" w14:textId="77777777" w:rsidR="00CC0D0D" w:rsidRPr="00914931" w:rsidRDefault="00CC0D0D" w:rsidP="00591F76">
            <w:pPr>
              <w:rPr>
                <w:rFonts w:ascii="Times New Roman" w:hAnsi="Times New Roman" w:cs="Times New Roman"/>
                <w:b/>
                <w:bCs/>
              </w:rPr>
            </w:pPr>
            <w:r w:rsidRPr="00914931">
              <w:rPr>
                <w:rFonts w:ascii="Times New Roman" w:hAnsi="Times New Roman" w:cs="Times New Roman"/>
                <w:b/>
                <w:bCs/>
              </w:rPr>
              <w:t>Date reviewed:</w:t>
            </w:r>
          </w:p>
        </w:tc>
      </w:tr>
      <w:tr w:rsidR="00CC0D0D" w:rsidRPr="00914931" w14:paraId="22882D94" w14:textId="77777777" w:rsidTr="00591F76">
        <w:tc>
          <w:tcPr>
            <w:tcW w:w="4675" w:type="dxa"/>
          </w:tcPr>
          <w:p w14:paraId="22472391" w14:textId="6F65E704" w:rsidR="00CC0D0D" w:rsidRPr="00914931" w:rsidRDefault="00CC0D0D" w:rsidP="00591F76">
            <w:pPr>
              <w:rPr>
                <w:rFonts w:ascii="Times New Roman" w:hAnsi="Times New Roman" w:cs="Times New Roman"/>
                <w:b/>
                <w:bCs/>
              </w:rPr>
            </w:pPr>
            <w:r w:rsidRPr="00914931">
              <w:rPr>
                <w:rFonts w:ascii="Times New Roman" w:hAnsi="Times New Roman" w:cs="Times New Roman"/>
                <w:b/>
                <w:bCs/>
              </w:rPr>
              <w:t xml:space="preserve">Date Implemented: </w:t>
            </w:r>
            <w:r w:rsidR="00693183">
              <w:rPr>
                <w:rFonts w:ascii="Times New Roman" w:hAnsi="Times New Roman" w:cs="Times New Roman"/>
              </w:rPr>
              <w:t>7</w:t>
            </w:r>
            <w:r w:rsidRPr="00914931">
              <w:rPr>
                <w:rFonts w:ascii="Times New Roman" w:hAnsi="Times New Roman" w:cs="Times New Roman"/>
              </w:rPr>
              <w:t>-</w:t>
            </w:r>
            <w:r w:rsidR="00693183">
              <w:rPr>
                <w:rFonts w:ascii="Times New Roman" w:hAnsi="Times New Roman" w:cs="Times New Roman"/>
              </w:rPr>
              <w:t>June</w:t>
            </w:r>
            <w:r w:rsidRPr="00914931">
              <w:rPr>
                <w:rFonts w:ascii="Times New Roman" w:hAnsi="Times New Roman" w:cs="Times New Roman"/>
              </w:rPr>
              <w:t>-202</w:t>
            </w:r>
            <w:r w:rsidR="006931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5" w:type="dxa"/>
          </w:tcPr>
          <w:p w14:paraId="1E2C3F61" w14:textId="77777777" w:rsidR="00CC0D0D" w:rsidRPr="00914931" w:rsidRDefault="00CC0D0D" w:rsidP="00591F76">
            <w:pPr>
              <w:rPr>
                <w:rFonts w:ascii="Times New Roman" w:hAnsi="Times New Roman" w:cs="Times New Roman"/>
                <w:b/>
                <w:bCs/>
              </w:rPr>
            </w:pPr>
            <w:r w:rsidRPr="00914931">
              <w:rPr>
                <w:rFonts w:ascii="Times New Roman" w:hAnsi="Times New Roman" w:cs="Times New Roman"/>
                <w:b/>
                <w:bCs/>
              </w:rPr>
              <w:t>Reviewed by:</w:t>
            </w:r>
          </w:p>
        </w:tc>
      </w:tr>
    </w:tbl>
    <w:p w14:paraId="3EED09F8" w14:textId="77777777" w:rsidR="00CC0D0D" w:rsidRDefault="00CC0D0D" w:rsidP="007F0391">
      <w:pPr>
        <w:jc w:val="center"/>
        <w:rPr>
          <w:b/>
          <w:bCs/>
        </w:rPr>
      </w:pPr>
    </w:p>
    <w:p w14:paraId="5E3ED552" w14:textId="1A6FF681" w:rsidR="00A235E0" w:rsidRDefault="00A235E0" w:rsidP="006D3285">
      <w:pPr>
        <w:spacing w:line="360" w:lineRule="auto"/>
        <w:rPr>
          <w:b/>
          <w:bCs/>
          <w:sz w:val="22"/>
          <w:szCs w:val="22"/>
        </w:rPr>
      </w:pPr>
    </w:p>
    <w:p w14:paraId="38CA776A" w14:textId="77777777" w:rsidR="009E1575" w:rsidRDefault="009E1575" w:rsidP="009E1575">
      <w:pPr>
        <w:pStyle w:val="NormalWeb"/>
        <w:numPr>
          <w:ilvl w:val="0"/>
          <w:numId w:val="5"/>
        </w:numPr>
        <w:spacing w:line="360" w:lineRule="auto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All the storage roots of the selected plots are harvested in the field </w:t>
      </w:r>
    </w:p>
    <w:p w14:paraId="4A53E211" w14:textId="77777777" w:rsidR="009E1575" w:rsidRDefault="009E1575" w:rsidP="009E1575">
      <w:pPr>
        <w:pStyle w:val="NormalWeb"/>
        <w:numPr>
          <w:ilvl w:val="0"/>
          <w:numId w:val="5"/>
        </w:numPr>
        <w:spacing w:line="360" w:lineRule="auto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The harvested storage roots from each plot are kept in a sampling bag and label properly</w:t>
      </w:r>
    </w:p>
    <w:p w14:paraId="0F1487BC" w14:textId="77777777" w:rsidR="009E1575" w:rsidRDefault="009E1575" w:rsidP="009E1575">
      <w:pPr>
        <w:pStyle w:val="NormalWeb"/>
        <w:numPr>
          <w:ilvl w:val="0"/>
          <w:numId w:val="5"/>
        </w:numPr>
        <w:spacing w:line="360" w:lineRule="auto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The bags are transported to the laboratory </w:t>
      </w:r>
    </w:p>
    <w:p w14:paraId="21A7FDCE" w14:textId="77777777" w:rsidR="009E1575" w:rsidRPr="00BB345C" w:rsidRDefault="009E1575" w:rsidP="009E1575">
      <w:pPr>
        <w:pStyle w:val="NormalWeb"/>
        <w:numPr>
          <w:ilvl w:val="0"/>
          <w:numId w:val="5"/>
        </w:numPr>
        <w:spacing w:line="360" w:lineRule="auto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Six healthy roots of different size (small, middle, big) are selected for each plot to ensure </w:t>
      </w:r>
      <w:r w:rsidRPr="00BB345C">
        <w:rPr>
          <w:rFonts w:ascii="TimesNewRomanPSMT" w:hAnsi="TimesNewRomanPSMT"/>
        </w:rPr>
        <w:t xml:space="preserve">roots homogeneity. Rooted, diseased or bruised roots should not be selected </w:t>
      </w:r>
    </w:p>
    <w:p w14:paraId="44C09EC1" w14:textId="77777777" w:rsidR="009E1575" w:rsidRPr="007842C9" w:rsidRDefault="009E1575" w:rsidP="009E1575">
      <w:pPr>
        <w:pStyle w:val="NormalWeb"/>
        <w:numPr>
          <w:ilvl w:val="0"/>
          <w:numId w:val="5"/>
        </w:numPr>
        <w:spacing w:line="360" w:lineRule="auto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The selected storage roots for each plot are processed (peeled, wash with clean water and dry with paper towel)</w:t>
      </w:r>
    </w:p>
    <w:p w14:paraId="2C972091" w14:textId="77777777" w:rsidR="009E1575" w:rsidRDefault="009E1575" w:rsidP="009E1575">
      <w:pPr>
        <w:pStyle w:val="NormalWeb"/>
        <w:numPr>
          <w:ilvl w:val="0"/>
          <w:numId w:val="5"/>
        </w:numPr>
        <w:spacing w:line="360" w:lineRule="auto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The proximal and distal part of the roots are removed </w:t>
      </w:r>
    </w:p>
    <w:p w14:paraId="3CC914F8" w14:textId="77777777" w:rsidR="009E1575" w:rsidRDefault="009E1575" w:rsidP="009E1575">
      <w:pPr>
        <w:pStyle w:val="NormalWeb"/>
        <w:numPr>
          <w:ilvl w:val="0"/>
          <w:numId w:val="5"/>
        </w:numPr>
        <w:spacing w:line="360" w:lineRule="auto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Use a hand grater to grate the top, middle, and bottom sides of each of the 6 selected roots per plot. Ensure that rotted, stalks, and fibrous roots are not used</w:t>
      </w:r>
    </w:p>
    <w:p w14:paraId="09365413" w14:textId="77777777" w:rsidR="009E1575" w:rsidRDefault="009E1575" w:rsidP="009E1575">
      <w:pPr>
        <w:spacing w:line="360" w:lineRule="auto"/>
        <w:jc w:val="both"/>
      </w:pPr>
    </w:p>
    <w:p w14:paraId="0444188D" w14:textId="77777777" w:rsidR="009E1575" w:rsidRPr="00167880" w:rsidRDefault="009E1575" w:rsidP="009E1575">
      <w:pPr>
        <w:spacing w:line="360" w:lineRule="auto"/>
        <w:jc w:val="both"/>
        <w:rPr>
          <w:i/>
          <w:iCs/>
        </w:rPr>
      </w:pPr>
      <w:r w:rsidRPr="00167880">
        <w:rPr>
          <w:i/>
          <w:iCs/>
        </w:rPr>
        <w:t xml:space="preserve">Data capturing using ASD </w:t>
      </w:r>
      <w:proofErr w:type="spellStart"/>
      <w:r w:rsidRPr="00167880">
        <w:rPr>
          <w:i/>
          <w:iCs/>
        </w:rPr>
        <w:t>QualitySpec</w:t>
      </w:r>
      <w:proofErr w:type="spellEnd"/>
      <w:r w:rsidRPr="00167880">
        <w:rPr>
          <w:i/>
          <w:iCs/>
        </w:rPr>
        <w:t xml:space="preserve"> Trek</w:t>
      </w:r>
    </w:p>
    <w:p w14:paraId="436E7CD0" w14:textId="77777777" w:rsidR="009E1575" w:rsidRPr="00C30BEA" w:rsidRDefault="009E1575" w:rsidP="009E1575">
      <w:pPr>
        <w:spacing w:line="360" w:lineRule="auto"/>
        <w:jc w:val="both"/>
      </w:pPr>
      <w:r w:rsidRPr="00C30BEA">
        <w:t>Step 1. The grind cassava roots are thoroughly mixed.</w:t>
      </w:r>
    </w:p>
    <w:p w14:paraId="00B71C1F" w14:textId="77777777" w:rsidR="009E1575" w:rsidRPr="00C30BEA" w:rsidRDefault="009E1575" w:rsidP="009E1575">
      <w:pPr>
        <w:spacing w:line="360" w:lineRule="auto"/>
        <w:jc w:val="both"/>
      </w:pPr>
      <w:r w:rsidRPr="00C30BEA">
        <w:t xml:space="preserve">Step 2. Fill the grinds cassava roots into three quartz glass </w:t>
      </w:r>
    </w:p>
    <w:p w14:paraId="0BBE7B9A" w14:textId="77777777" w:rsidR="009E1575" w:rsidRPr="00C30BEA" w:rsidRDefault="009E1575" w:rsidP="009E1575">
      <w:pPr>
        <w:spacing w:line="360" w:lineRule="auto"/>
        <w:jc w:val="both"/>
      </w:pPr>
      <w:r w:rsidRPr="00C30BEA">
        <w:t>Step 3. Place each quartz glass against the instrument window and hold both the sample and instrument steady</w:t>
      </w:r>
    </w:p>
    <w:p w14:paraId="2598681D" w14:textId="2F65C40D" w:rsidR="009E1575" w:rsidRPr="00C30BEA" w:rsidRDefault="009E1575" w:rsidP="009E1575">
      <w:pPr>
        <w:spacing w:line="360" w:lineRule="auto"/>
        <w:jc w:val="both"/>
      </w:pPr>
      <w:r w:rsidRPr="00C30BEA">
        <w:t>Step 4. Pull the instrument trigger once and release. Keep the sample pressed against the window and hold both the sample and instrument steady until the instrument chime again</w:t>
      </w:r>
      <w:r>
        <w:t>. E</w:t>
      </w:r>
      <w:r w:rsidRPr="00C30BEA">
        <w:t xml:space="preserve">ach quartz glass containing sample would be scanned </w:t>
      </w:r>
      <w:r w:rsidR="00254D59">
        <w:t>twice.</w:t>
      </w:r>
    </w:p>
    <w:p w14:paraId="62DEE31B" w14:textId="77777777" w:rsidR="009E1575" w:rsidRPr="00C30BEA" w:rsidRDefault="009E1575" w:rsidP="009E1575">
      <w:pPr>
        <w:spacing w:line="360" w:lineRule="auto"/>
        <w:jc w:val="both"/>
      </w:pPr>
      <w:r w:rsidRPr="00C30BEA">
        <w:t>Step 5. Each quartz glass should be washed and wiped dry before use for another sample.</w:t>
      </w:r>
    </w:p>
    <w:p w14:paraId="1BBB7EB4" w14:textId="130A83C2" w:rsidR="009E1575" w:rsidRDefault="009E1575" w:rsidP="009E1575">
      <w:pPr>
        <w:spacing w:line="360" w:lineRule="auto"/>
        <w:jc w:val="both"/>
      </w:pPr>
    </w:p>
    <w:p w14:paraId="156D7130" w14:textId="77777777" w:rsidR="009E1575" w:rsidRDefault="009E1575" w:rsidP="009E1575">
      <w:pPr>
        <w:spacing w:line="360" w:lineRule="auto"/>
        <w:jc w:val="both"/>
      </w:pPr>
    </w:p>
    <w:p w14:paraId="02F8932A" w14:textId="77777777" w:rsidR="009E1575" w:rsidRPr="00167880" w:rsidRDefault="009E1575" w:rsidP="009E1575">
      <w:pPr>
        <w:spacing w:line="360" w:lineRule="auto"/>
        <w:jc w:val="both"/>
        <w:rPr>
          <w:i/>
          <w:iCs/>
        </w:rPr>
      </w:pPr>
      <w:r w:rsidRPr="00167880">
        <w:rPr>
          <w:i/>
          <w:iCs/>
        </w:rPr>
        <w:lastRenderedPageBreak/>
        <w:t xml:space="preserve">Data capturing using </w:t>
      </w:r>
      <w:proofErr w:type="spellStart"/>
      <w:r w:rsidRPr="00167880">
        <w:rPr>
          <w:i/>
          <w:iCs/>
        </w:rPr>
        <w:t>SCiO</w:t>
      </w:r>
      <w:proofErr w:type="spellEnd"/>
      <w:r w:rsidRPr="00167880">
        <w:rPr>
          <w:i/>
          <w:iCs/>
        </w:rPr>
        <w:t xml:space="preserve"> </w:t>
      </w:r>
    </w:p>
    <w:p w14:paraId="15326895" w14:textId="77777777" w:rsidR="009E1575" w:rsidRPr="00C30BEA" w:rsidRDefault="009E1575" w:rsidP="009E1575">
      <w:pPr>
        <w:spacing w:line="360" w:lineRule="auto"/>
        <w:jc w:val="both"/>
      </w:pPr>
      <w:r w:rsidRPr="00C30BEA">
        <w:t xml:space="preserve">Step 1. The grind cassava roots are thoroughly mixed </w:t>
      </w:r>
    </w:p>
    <w:p w14:paraId="49E2EA0E" w14:textId="77777777" w:rsidR="009E1575" w:rsidRPr="00C30BEA" w:rsidRDefault="009E1575" w:rsidP="009E1575">
      <w:pPr>
        <w:spacing w:line="360" w:lineRule="auto"/>
        <w:jc w:val="both"/>
      </w:pPr>
      <w:r w:rsidRPr="00C30BEA">
        <w:t xml:space="preserve">Step 2. Fill the grinds sample into three (3) quartz glass </w:t>
      </w:r>
    </w:p>
    <w:p w14:paraId="213A0855" w14:textId="77777777" w:rsidR="009E1575" w:rsidRPr="00C30BEA" w:rsidRDefault="009E1575" w:rsidP="009E1575">
      <w:pPr>
        <w:spacing w:line="360" w:lineRule="auto"/>
        <w:jc w:val="both"/>
      </w:pPr>
      <w:r w:rsidRPr="00C30BEA">
        <w:t xml:space="preserve">Step 3. The samples are scanned with the </w:t>
      </w:r>
      <w:proofErr w:type="spellStart"/>
      <w:r w:rsidRPr="00C30BEA">
        <w:t>S</w:t>
      </w:r>
      <w:r>
        <w:t>C</w:t>
      </w:r>
      <w:r w:rsidRPr="00C30BEA">
        <w:t>i</w:t>
      </w:r>
      <w:r>
        <w:t>O</w:t>
      </w:r>
      <w:proofErr w:type="spellEnd"/>
      <w:r w:rsidRPr="00C30BEA">
        <w:t xml:space="preserve"> device (ensuring full contact with the glass).</w:t>
      </w:r>
    </w:p>
    <w:p w14:paraId="4A5E7846" w14:textId="77777777" w:rsidR="009E1575" w:rsidRPr="00C30BEA" w:rsidRDefault="009E1575" w:rsidP="009E1575">
      <w:pPr>
        <w:spacing w:line="360" w:lineRule="auto"/>
        <w:jc w:val="both"/>
      </w:pPr>
      <w:r w:rsidRPr="00C30BEA">
        <w:tab/>
        <w:t>a). 3 scans are taken for each quartz fill with the sample</w:t>
      </w:r>
    </w:p>
    <w:p w14:paraId="2538F5A4" w14:textId="77777777" w:rsidR="009E1575" w:rsidRPr="00C30BEA" w:rsidRDefault="009E1575" w:rsidP="009E1575">
      <w:pPr>
        <w:spacing w:line="360" w:lineRule="auto"/>
        <w:jc w:val="both"/>
      </w:pPr>
      <w:r w:rsidRPr="00C30BEA">
        <w:tab/>
      </w:r>
      <w:r>
        <w:t>b)</w:t>
      </w:r>
      <w:r w:rsidRPr="00C30BEA">
        <w:t>. ensure that Scio device is placed at random surface of the quartz glass while scanning</w:t>
      </w:r>
    </w:p>
    <w:p w14:paraId="153450C0" w14:textId="6E1EF3E5" w:rsidR="009E1575" w:rsidRDefault="009E1575" w:rsidP="009E1575">
      <w:pPr>
        <w:spacing w:line="360" w:lineRule="auto"/>
        <w:jc w:val="both"/>
      </w:pPr>
      <w:r w:rsidRPr="00C30BEA">
        <w:t>Step 4. Each quartz glass should be washed and wiped dry before it is use for another sample</w:t>
      </w:r>
      <w:r>
        <w:t>.</w:t>
      </w:r>
    </w:p>
    <w:p w14:paraId="545084FC" w14:textId="2466B242" w:rsidR="009E1575" w:rsidRPr="006D3285" w:rsidRDefault="00254D59" w:rsidP="00792760">
      <w:pPr>
        <w:spacing w:line="360" w:lineRule="auto"/>
        <w:jc w:val="both"/>
        <w:rPr>
          <w:b/>
          <w:bCs/>
          <w:sz w:val="22"/>
          <w:szCs w:val="22"/>
        </w:rPr>
      </w:pPr>
      <w:r>
        <w:t xml:space="preserve">The data collected are directly </w:t>
      </w:r>
      <w:r w:rsidR="00792760">
        <w:t xml:space="preserve">transferred to the </w:t>
      </w:r>
      <w:proofErr w:type="spellStart"/>
      <w:r>
        <w:t>SCiO</w:t>
      </w:r>
      <w:proofErr w:type="spellEnd"/>
      <w:r>
        <w:t xml:space="preserve"> server </w:t>
      </w:r>
      <w:r w:rsidR="00792760">
        <w:t>for data storage</w:t>
      </w:r>
    </w:p>
    <w:sectPr w:rsidR="009E1575" w:rsidRPr="006D3285" w:rsidSect="00BF66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96724"/>
    <w:multiLevelType w:val="hybridMultilevel"/>
    <w:tmpl w:val="6AC69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02ED3"/>
    <w:multiLevelType w:val="multilevel"/>
    <w:tmpl w:val="4044C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C96139"/>
    <w:multiLevelType w:val="multilevel"/>
    <w:tmpl w:val="4044C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5C6221"/>
    <w:multiLevelType w:val="multilevel"/>
    <w:tmpl w:val="4044C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2D7972"/>
    <w:multiLevelType w:val="multilevel"/>
    <w:tmpl w:val="A0E61F6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998"/>
    <w:rsid w:val="000F469B"/>
    <w:rsid w:val="001842AF"/>
    <w:rsid w:val="001C5373"/>
    <w:rsid w:val="00254D59"/>
    <w:rsid w:val="002A7998"/>
    <w:rsid w:val="003B322B"/>
    <w:rsid w:val="00445569"/>
    <w:rsid w:val="00584DD4"/>
    <w:rsid w:val="005A1294"/>
    <w:rsid w:val="00693183"/>
    <w:rsid w:val="006D3285"/>
    <w:rsid w:val="007842C9"/>
    <w:rsid w:val="00792760"/>
    <w:rsid w:val="007F0391"/>
    <w:rsid w:val="00861526"/>
    <w:rsid w:val="00886D93"/>
    <w:rsid w:val="009E1575"/>
    <w:rsid w:val="00A235E0"/>
    <w:rsid w:val="00A23CC6"/>
    <w:rsid w:val="00BF66E2"/>
    <w:rsid w:val="00CC0D0D"/>
    <w:rsid w:val="00F45303"/>
    <w:rsid w:val="00FA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76EE6A"/>
  <w15:chartTrackingRefBased/>
  <w15:docId w15:val="{193A1701-0826-BE44-9BE4-D3C624A20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4556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799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44556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4455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455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29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294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CC0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54D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0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9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9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4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8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17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7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43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1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81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66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22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6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70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8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94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3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58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76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5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77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3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35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7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3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32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6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4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9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0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Mbanjo, Edwige Gaby-Nkouaya (IITA)</dc:creator>
  <cp:keywords/>
  <dc:description/>
  <cp:lastModifiedBy>Mbanjo, Edwige Gaby-Nkouaya (IITA)</cp:lastModifiedBy>
  <cp:revision>6</cp:revision>
  <dcterms:created xsi:type="dcterms:W3CDTF">2021-06-07T09:04:00Z</dcterms:created>
  <dcterms:modified xsi:type="dcterms:W3CDTF">2021-06-08T16:46:00Z</dcterms:modified>
</cp:coreProperties>
</file>